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80" w:rsidRDefault="00566F80" w:rsidP="00566F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74" w:rsidRPr="00566F80" w:rsidRDefault="00204174" w:rsidP="00566F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</w:p>
    <w:p w:rsidR="00566F80" w:rsidRPr="00566F80" w:rsidRDefault="00566F80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566F80">
        <w:rPr>
          <w:rFonts w:ascii="Times New Roman" w:eastAsia="Times New Roman" w:hAnsi="Times New Roman" w:cs="Times New Roman"/>
          <w:b/>
        </w:rPr>
        <w:t>РЕСПУБЛИКА  КАРЕЛИЯ</w:t>
      </w:r>
      <w:proofErr w:type="gramEnd"/>
    </w:p>
    <w:p w:rsidR="00566F80" w:rsidRPr="00566F80" w:rsidRDefault="00566F80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66F80" w:rsidRPr="00566F80" w:rsidRDefault="00566F80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66F80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566F80">
        <w:rPr>
          <w:rFonts w:ascii="Times New Roman" w:eastAsia="Times New Roman" w:hAnsi="Times New Roman" w:cs="Times New Roman"/>
          <w:b/>
        </w:rPr>
        <w:t>КАЛЕВАЛЬСКИЙ  МУНИЦИПАЛЬНЫЙ</w:t>
      </w:r>
      <w:proofErr w:type="gramEnd"/>
      <w:r w:rsidRPr="00566F80">
        <w:rPr>
          <w:rFonts w:ascii="Times New Roman" w:eastAsia="Times New Roman" w:hAnsi="Times New Roman" w:cs="Times New Roman"/>
          <w:b/>
        </w:rPr>
        <w:t xml:space="preserve"> РАЙОН</w:t>
      </w:r>
    </w:p>
    <w:p w:rsidR="00566F80" w:rsidRPr="00566F80" w:rsidRDefault="00566F80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66F80" w:rsidRPr="00566F80" w:rsidRDefault="00566F80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66F80">
        <w:rPr>
          <w:rFonts w:ascii="Times New Roman" w:eastAsia="Times New Roman" w:hAnsi="Times New Roman" w:cs="Times New Roman"/>
          <w:b/>
        </w:rPr>
        <w:t xml:space="preserve">МУНИЦИПАЛЬНОЕ ОБРАЗОВАНИЕ </w:t>
      </w:r>
    </w:p>
    <w:p w:rsidR="00566F80" w:rsidRPr="00566F80" w:rsidRDefault="00185327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«ЛУУСАЛМСКОЕ СЕЛЬСКОЕ </w:t>
      </w:r>
      <w:r w:rsidRPr="00566F80">
        <w:rPr>
          <w:rFonts w:ascii="Times New Roman" w:eastAsia="Times New Roman" w:hAnsi="Times New Roman" w:cs="Times New Roman"/>
          <w:b/>
        </w:rPr>
        <w:t>ПОСЕЛЕНИЕ</w:t>
      </w:r>
      <w:r w:rsidR="00566F80" w:rsidRPr="00566F80">
        <w:rPr>
          <w:rFonts w:ascii="Times New Roman" w:eastAsia="Times New Roman" w:hAnsi="Times New Roman" w:cs="Times New Roman"/>
          <w:b/>
        </w:rPr>
        <w:t>»</w:t>
      </w:r>
    </w:p>
    <w:p w:rsidR="00566F80" w:rsidRPr="00566F80" w:rsidRDefault="00566F80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66F80" w:rsidRPr="00566F80" w:rsidRDefault="002037C4" w:rsidP="005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СОВЕТ  ЛУУСАЛМСКОГО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</w:t>
      </w:r>
      <w:r w:rsidR="00566F80" w:rsidRPr="00566F80">
        <w:rPr>
          <w:rFonts w:ascii="Times New Roman" w:eastAsia="Times New Roman" w:hAnsi="Times New Roman" w:cs="Times New Roman"/>
          <w:b/>
          <w:sz w:val="24"/>
          <w:szCs w:val="24"/>
        </w:rPr>
        <w:t xml:space="preserve">  ПОСЕЛЕНИЯ</w:t>
      </w:r>
    </w:p>
    <w:p w:rsidR="006D2188" w:rsidRDefault="006D2188" w:rsidP="00E272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210" w:rsidRPr="007D2275" w:rsidRDefault="005753E1" w:rsidP="00E2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="00185327" w:rsidRPr="000D3D54">
        <w:rPr>
          <w:rFonts w:ascii="Times New Roman" w:hAnsi="Times New Roman" w:cs="Times New Roman"/>
          <w:b/>
          <w:sz w:val="24"/>
          <w:szCs w:val="24"/>
        </w:rPr>
        <w:t>30 сессия</w:t>
      </w: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Pr="007D2275">
        <w:rPr>
          <w:rFonts w:ascii="Times New Roman" w:hAnsi="Times New Roman" w:cs="Times New Roman"/>
          <w:b/>
          <w:sz w:val="24"/>
          <w:szCs w:val="24"/>
        </w:rPr>
        <w:tab/>
      </w:r>
      <w:r w:rsidR="00185327" w:rsidRPr="0018532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E27210" w:rsidRPr="007D2275">
        <w:rPr>
          <w:rFonts w:ascii="Times New Roman" w:hAnsi="Times New Roman" w:cs="Times New Roman"/>
          <w:b/>
          <w:sz w:val="24"/>
          <w:szCs w:val="24"/>
        </w:rPr>
        <w:t>созыв</w:t>
      </w:r>
    </w:p>
    <w:p w:rsidR="00E27210" w:rsidRPr="00073A00" w:rsidRDefault="00E27210" w:rsidP="00E27210">
      <w:pPr>
        <w:pStyle w:val="1"/>
        <w:ind w:left="1416" w:firstLine="708"/>
        <w:rPr>
          <w:sz w:val="24"/>
          <w:u w:val="single"/>
        </w:rPr>
      </w:pPr>
      <w:r w:rsidRPr="00073A00">
        <w:rPr>
          <w:sz w:val="24"/>
        </w:rPr>
        <w:t>РЕШЕНИЕ</w:t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</w:p>
    <w:p w:rsidR="002A2C6C" w:rsidRPr="00550F1C" w:rsidRDefault="0072512A" w:rsidP="002A2C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5753E1" w:rsidRPr="00073A00">
        <w:rPr>
          <w:rFonts w:ascii="Times New Roman" w:hAnsi="Times New Roman" w:cs="Times New Roman"/>
          <w:sz w:val="24"/>
          <w:szCs w:val="24"/>
          <w:u w:val="single"/>
        </w:rPr>
        <w:t xml:space="preserve">т </w:t>
      </w:r>
      <w:r w:rsidR="00185327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04174">
        <w:rPr>
          <w:rFonts w:ascii="Times New Roman" w:hAnsi="Times New Roman" w:cs="Times New Roman"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188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="001846E7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84C5B">
        <w:rPr>
          <w:rFonts w:ascii="Times New Roman" w:hAnsi="Times New Roman" w:cs="Times New Roman"/>
          <w:sz w:val="24"/>
          <w:szCs w:val="24"/>
          <w:u w:val="single"/>
        </w:rPr>
        <w:t xml:space="preserve">  № </w:t>
      </w:r>
      <w:r w:rsidR="00185327">
        <w:rPr>
          <w:rFonts w:ascii="Times New Roman" w:hAnsi="Times New Roman" w:cs="Times New Roman"/>
          <w:sz w:val="24"/>
          <w:szCs w:val="24"/>
          <w:u w:val="single"/>
        </w:rPr>
        <w:t>4-30</w:t>
      </w:r>
      <w:r w:rsidR="007D227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D3D54">
        <w:rPr>
          <w:rFonts w:ascii="Times New Roman" w:hAnsi="Times New Roman" w:cs="Times New Roman"/>
          <w:sz w:val="24"/>
          <w:szCs w:val="24"/>
          <w:u w:val="single"/>
        </w:rPr>
        <w:t>107</w:t>
      </w:r>
    </w:p>
    <w:p w:rsidR="00E27210" w:rsidRPr="0000753F" w:rsidRDefault="00185327" w:rsidP="002A2C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 Луусалми</w:t>
      </w:r>
    </w:p>
    <w:p w:rsidR="007165A3" w:rsidRDefault="007165A3" w:rsidP="007165A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57"/>
      </w:tblGrid>
      <w:tr w:rsidR="00204174" w:rsidRPr="00667576" w:rsidTr="00667576">
        <w:trPr>
          <w:trHeight w:val="56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204174" w:rsidRPr="00667576" w:rsidRDefault="00204174" w:rsidP="006675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id="0" w:name="_GoBack"/>
            <w:r w:rsidRPr="0066757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</w:t>
            </w:r>
            <w:r w:rsidR="0018532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ужениях в Луусалмском сельском</w:t>
            </w:r>
            <w:r w:rsidRPr="0066757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поселении.</w:t>
            </w:r>
            <w:bookmarkEnd w:id="0"/>
          </w:p>
        </w:tc>
      </w:tr>
    </w:tbl>
    <w:p w:rsidR="005458C6" w:rsidRPr="00667576" w:rsidRDefault="005458C6" w:rsidP="006675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58C6" w:rsidRPr="00667576" w:rsidRDefault="0024121D" w:rsidP="006675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14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Фед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ерального закона от 06.10.2003 №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131-Ф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З «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равления в Российской Федерации», 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>Постановлением Государственного комитета РФ по строительству и жилищно-коммуна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льному комплексу от 27.09.2003 № 170 «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>Об утверждении правил и норм технической эксплуатации жи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лищного фонда»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и на основании</w:t>
      </w:r>
      <w:r w:rsidR="00185327">
        <w:rPr>
          <w:rFonts w:ascii="Times New Roman" w:hAnsi="Times New Roman" w:cs="Times New Roman"/>
          <w:color w:val="000000"/>
          <w:sz w:val="24"/>
          <w:szCs w:val="24"/>
        </w:rPr>
        <w:t xml:space="preserve"> Устава Луусалмского сельского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поселения, </w:t>
      </w:r>
    </w:p>
    <w:p w:rsidR="0024121D" w:rsidRPr="00667576" w:rsidRDefault="0024121D" w:rsidP="006675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58C6" w:rsidRPr="00667576" w:rsidRDefault="005458C6" w:rsidP="0066757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185327">
        <w:rPr>
          <w:rFonts w:ascii="Times New Roman" w:hAnsi="Times New Roman" w:cs="Times New Roman"/>
          <w:b/>
          <w:color w:val="000000"/>
          <w:sz w:val="24"/>
          <w:szCs w:val="24"/>
        </w:rPr>
        <w:t>Совет Луусалмского сельского</w:t>
      </w:r>
      <w:r w:rsidRPr="00667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 РЕШИЛ:</w:t>
      </w:r>
    </w:p>
    <w:p w:rsidR="0024121D" w:rsidRPr="00667576" w:rsidRDefault="0024121D" w:rsidP="0066757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121D" w:rsidRPr="00667576" w:rsidRDefault="0024121D" w:rsidP="0066757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5458C6"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Положение «Об установке и эксплуатации указателей с наименованием улиц, номерами домов и иных информационных знаков, размещаемы</w:t>
      </w:r>
      <w:r w:rsidR="00185327">
        <w:rPr>
          <w:rFonts w:ascii="Times New Roman" w:eastAsia="Times New Roman" w:hAnsi="Times New Roman" w:cs="Times New Roman"/>
          <w:color w:val="000000"/>
          <w:sz w:val="24"/>
          <w:szCs w:val="24"/>
        </w:rPr>
        <w:t>х на зданиях и сооружениях в Луусалмском сельском</w:t>
      </w: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поселении» согласно </w:t>
      </w:r>
      <w:r w:rsidR="00185327"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 1</w:t>
      </w: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решению.</w:t>
      </w:r>
    </w:p>
    <w:p w:rsidR="005458C6" w:rsidRPr="00667576" w:rsidRDefault="0024121D" w:rsidP="0066757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5458C6"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форму указателей с названиями улиц и номеров домов, </w:t>
      </w:r>
      <w:r w:rsidR="0018532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расположенных на территории Луусалмского сельского</w:t>
      </w: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согласно приложению 2 к настоящему решению.</w:t>
      </w:r>
    </w:p>
    <w:p w:rsidR="00667576" w:rsidRPr="00667576" w:rsidRDefault="00667576" w:rsidP="0066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>3. Опубликовать (обнародовать) настоящее решение в официальном бюллетене «Вестник муниципального обр</w:t>
      </w:r>
      <w:r w:rsidR="00185327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азования «Луусалмское сельское</w:t>
      </w: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поселение», </w:t>
      </w:r>
      <w:r w:rsidR="00185327"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на</w:t>
      </w: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</w:t>
      </w:r>
      <w:r w:rsidR="00185327"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ициальном сайте Луусалмского сельского</w:t>
      </w: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поселения.</w:t>
      </w:r>
    </w:p>
    <w:p w:rsidR="0016480F" w:rsidRDefault="000848A8" w:rsidP="00667576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4.Настоящее решение вступает в силу после опубликования (обнародования).</w:t>
      </w:r>
    </w:p>
    <w:p w:rsidR="002037C4" w:rsidRDefault="002037C4" w:rsidP="00667576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37C4" w:rsidRPr="00667576" w:rsidRDefault="002037C4" w:rsidP="00667576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0767" w:rsidRPr="00667576" w:rsidRDefault="00910767" w:rsidP="006675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85327">
        <w:rPr>
          <w:rFonts w:ascii="Times New Roman" w:hAnsi="Times New Roman" w:cs="Times New Roman"/>
          <w:color w:val="000000"/>
          <w:sz w:val="24"/>
          <w:szCs w:val="24"/>
        </w:rPr>
        <w:t>редседатель Совета Луусалмского сельского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="0018532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proofErr w:type="spellStart"/>
      <w:r w:rsidR="00185327">
        <w:rPr>
          <w:rFonts w:ascii="Times New Roman" w:hAnsi="Times New Roman" w:cs="Times New Roman"/>
          <w:color w:val="000000"/>
          <w:sz w:val="24"/>
          <w:szCs w:val="24"/>
        </w:rPr>
        <w:t>Г.А.Дмитриева</w:t>
      </w:r>
      <w:proofErr w:type="spellEnd"/>
    </w:p>
    <w:p w:rsidR="00910767" w:rsidRPr="00667576" w:rsidRDefault="00185327" w:rsidP="006675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Луусалмского сельского</w:t>
      </w:r>
      <w:r w:rsidR="00910767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И.М.Мартинкиян</w:t>
      </w:r>
    </w:p>
    <w:p w:rsidR="00910767" w:rsidRPr="00667576" w:rsidRDefault="00910767" w:rsidP="00667576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58C6" w:rsidRPr="00667576" w:rsidRDefault="005458C6" w:rsidP="00667576">
      <w:pPr>
        <w:pStyle w:val="ConsPlusNormal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5327" w:rsidRDefault="005458C6" w:rsidP="00667576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910767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185327" w:rsidRDefault="00185327" w:rsidP="00667576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5327" w:rsidRDefault="00185327" w:rsidP="00667576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5327" w:rsidRDefault="00185327" w:rsidP="00667576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58C6" w:rsidRPr="00667576" w:rsidRDefault="00910767" w:rsidP="00185327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037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                                                                                                        к Решению Совета </w:t>
      </w:r>
    </w:p>
    <w:p w:rsidR="005458C6" w:rsidRPr="00667576" w:rsidRDefault="00185327" w:rsidP="00185327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Луусалмского сельского</w:t>
      </w:r>
      <w:r w:rsidR="005458C6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</w:p>
    <w:p w:rsidR="005458C6" w:rsidRPr="00667576" w:rsidRDefault="005458C6" w:rsidP="00185327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426F67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8532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85327">
        <w:rPr>
          <w:rFonts w:ascii="Times New Roman" w:hAnsi="Times New Roman" w:cs="Times New Roman"/>
          <w:color w:val="000000"/>
          <w:sz w:val="24"/>
          <w:szCs w:val="24"/>
        </w:rPr>
        <w:t xml:space="preserve"> 24</w:t>
      </w:r>
      <w:r w:rsidR="00301F54">
        <w:rPr>
          <w:rFonts w:ascii="Times New Roman" w:hAnsi="Times New Roman" w:cs="Times New Roman"/>
          <w:color w:val="000000"/>
          <w:sz w:val="24"/>
          <w:szCs w:val="24"/>
        </w:rPr>
        <w:t xml:space="preserve">.02.2021 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426F67">
        <w:rPr>
          <w:rFonts w:ascii="Times New Roman" w:hAnsi="Times New Roman" w:cs="Times New Roman"/>
          <w:color w:val="000000"/>
          <w:sz w:val="24"/>
          <w:szCs w:val="24"/>
        </w:rPr>
        <w:t>4-30-107</w:t>
      </w:r>
    </w:p>
    <w:p w:rsidR="005458C6" w:rsidRPr="00667576" w:rsidRDefault="005458C6" w:rsidP="00667576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" w:name="Par33"/>
      <w:bookmarkEnd w:id="1"/>
    </w:p>
    <w:p w:rsidR="005458C6" w:rsidRPr="00667576" w:rsidRDefault="00301F54" w:rsidP="00667576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Положение</w:t>
      </w:r>
    </w:p>
    <w:p w:rsidR="005458C6" w:rsidRPr="00667576" w:rsidRDefault="00301F54" w:rsidP="00667576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 установке и эксплуатации указателей с наименованием улиц,</w:t>
      </w:r>
    </w:p>
    <w:p w:rsidR="005458C6" w:rsidRPr="00667576" w:rsidRDefault="00301F54" w:rsidP="00667576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номерами домов и иных информационных знаков, размещаемых</w:t>
      </w:r>
    </w:p>
    <w:p w:rsidR="00431814" w:rsidRPr="00667576" w:rsidRDefault="00301F54" w:rsidP="00667576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зданиях и соор</w:t>
      </w:r>
      <w:r w:rsidR="0018532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ужениях в Луусалмском сельском</w:t>
      </w: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поселении</w:t>
      </w:r>
      <w:bookmarkStart w:id="2" w:name="Par41"/>
      <w:bookmarkEnd w:id="2"/>
    </w:p>
    <w:p w:rsidR="00301F54" w:rsidRDefault="00301F54" w:rsidP="006675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14" w:rsidRPr="00667576" w:rsidRDefault="00431814" w:rsidP="006675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</w:t>
      </w:r>
    </w:p>
    <w:p w:rsidR="00431814" w:rsidRPr="00667576" w:rsidRDefault="00431814" w:rsidP="0066757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1.1. Установка указателей с наименованиями улиц и номерами домов </w:t>
      </w:r>
      <w:r w:rsidRPr="00667576">
        <w:rPr>
          <w:rFonts w:ascii="Times New Roman" w:hAnsi="Times New Roman" w:cs="Times New Roman"/>
          <w:sz w:val="24"/>
          <w:szCs w:val="24"/>
        </w:rPr>
        <w:t>на тер</w:t>
      </w:r>
      <w:r w:rsidR="00185327">
        <w:rPr>
          <w:rFonts w:ascii="Times New Roman" w:hAnsi="Times New Roman" w:cs="Times New Roman"/>
          <w:sz w:val="24"/>
          <w:szCs w:val="24"/>
        </w:rPr>
        <w:t>ритории Луусалмского сельского</w:t>
      </w:r>
      <w:r w:rsidRPr="00667576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их собственниками, организациями, осуществляющими управление многоквартирными домами, в соответствии со </w:t>
      </w:r>
      <w:r w:rsidRPr="00667576">
        <w:rPr>
          <w:rFonts w:ascii="Times New Roman" w:hAnsi="Times New Roman" w:cs="Times New Roman"/>
          <w:sz w:val="24"/>
          <w:szCs w:val="24"/>
        </w:rPr>
        <w:t xml:space="preserve">статьей 45.1 Федерального закона от 06.10.2003 № 131-ФЗ «Об общих принципах организации местного самоуправления в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</w:t>
      </w:r>
      <w:r w:rsidR="0078757F" w:rsidRPr="00667576">
        <w:rPr>
          <w:rFonts w:ascii="Times New Roman" w:hAnsi="Times New Roman" w:cs="Times New Roman"/>
          <w:sz w:val="24"/>
          <w:szCs w:val="24"/>
        </w:rPr>
        <w:t xml:space="preserve">в качестве реквизитов адреса, </w:t>
      </w:r>
      <w:r w:rsidRPr="00667576">
        <w:rPr>
          <w:rFonts w:ascii="Times New Roman" w:hAnsi="Times New Roman" w:cs="Times New Roman"/>
          <w:sz w:val="24"/>
          <w:szCs w:val="24"/>
        </w:rPr>
        <w:t xml:space="preserve"> </w:t>
      </w:r>
      <w:r w:rsidR="00933BBB">
        <w:rPr>
          <w:rFonts w:ascii="Times New Roman" w:hAnsi="Times New Roman" w:cs="Times New Roman"/>
          <w:color w:val="000000"/>
          <w:sz w:val="24"/>
          <w:szCs w:val="24"/>
        </w:rPr>
        <w:t>и настоящим Положением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1814" w:rsidRPr="00667576" w:rsidRDefault="00431814" w:rsidP="006675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>1.2. </w:t>
      </w:r>
      <w:r w:rsidR="00933BBB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Pr="00667576">
        <w:rPr>
          <w:rFonts w:ascii="Times New Roman" w:hAnsi="Times New Roman" w:cs="Times New Roman"/>
          <w:sz w:val="24"/>
          <w:szCs w:val="24"/>
        </w:rPr>
        <w:t xml:space="preserve"> определяет требования к оформлению, размещению и эксплуатации указателей, которые содержат сведения о наименовании элемента улично-дорожной сети, порядковом номере дома (здания, сооружения), устанавливаемых на тер</w:t>
      </w:r>
      <w:r w:rsidR="00185327">
        <w:rPr>
          <w:rFonts w:ascii="Times New Roman" w:hAnsi="Times New Roman" w:cs="Times New Roman"/>
          <w:sz w:val="24"/>
          <w:szCs w:val="24"/>
        </w:rPr>
        <w:t>ритории Луусалмского сельского</w:t>
      </w:r>
      <w:r w:rsidRPr="00667576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431814" w:rsidRPr="00667576" w:rsidRDefault="00933BBB" w:rsidP="0066757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 Настоящее Положение</w:t>
      </w:r>
      <w:r w:rsidR="00066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814"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не применяется для установки указателей с наименованиями улиц и номерами домов на фасадах многоквартирных домов, </w:t>
      </w:r>
      <w:r w:rsidR="00431814" w:rsidRPr="00667576">
        <w:rPr>
          <w:rFonts w:ascii="Times New Roman" w:hAnsi="Times New Roman" w:cs="Times New Roman"/>
          <w:sz w:val="24"/>
          <w:szCs w:val="24"/>
        </w:rPr>
        <w:t>признанных в установленном порядке аварийными и подлежащими сносу или реконструкции.</w:t>
      </w:r>
    </w:p>
    <w:p w:rsidR="00431814" w:rsidRPr="00667576" w:rsidRDefault="00431814" w:rsidP="0066757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814" w:rsidRPr="00667576" w:rsidRDefault="00431814" w:rsidP="00667576">
      <w:pPr>
        <w:pStyle w:val="ConsPlusNormal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67576">
        <w:rPr>
          <w:rFonts w:ascii="Times New Roman" w:hAnsi="Times New Roman" w:cs="Times New Roman"/>
          <w:sz w:val="24"/>
          <w:szCs w:val="24"/>
        </w:rPr>
        <w:t>2. Виды указателей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2.1. Видами указателей, устанавливаемых на фасадах с целью использования в качестве реквизитов адресации, являются: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2.1.1. Указатели с наименованием элементов улично-дорожной сети </w:t>
      </w:r>
      <w:r w:rsidR="0078757F" w:rsidRPr="00667576">
        <w:rPr>
          <w:rFonts w:ascii="Times New Roman" w:eastAsia="Times New Roman" w:hAnsi="Times New Roman" w:cs="Times New Roman"/>
          <w:sz w:val="24"/>
          <w:szCs w:val="24"/>
        </w:rPr>
        <w:t>на тер</w:t>
      </w:r>
      <w:r w:rsidR="00185327">
        <w:rPr>
          <w:rFonts w:ascii="Times New Roman" w:eastAsia="Times New Roman" w:hAnsi="Times New Roman" w:cs="Times New Roman"/>
          <w:sz w:val="24"/>
          <w:szCs w:val="24"/>
        </w:rPr>
        <w:t>ритории Луусалмского сельского</w:t>
      </w:r>
      <w:r w:rsidR="0078757F" w:rsidRPr="00667576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 (улицы, переулка, площади и пр.) (далее – указатели с наименованиями улиц);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2.1.2. Указатели с номерами домов (зданий, сооружений) - номерные знаки, состоящие из последовательности цифр, включая дробное обозначение, и возможным добавлением букв (далее – указатели с номерами домов).</w:t>
      </w:r>
    </w:p>
    <w:p w:rsidR="00431814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2.2. На территории </w:t>
      </w:r>
      <w:r w:rsidR="00185327" w:rsidRPr="00185327">
        <w:rPr>
          <w:rFonts w:ascii="Times New Roman" w:eastAsia="Times New Roman" w:hAnsi="Times New Roman" w:cs="Times New Roman"/>
          <w:sz w:val="24"/>
          <w:szCs w:val="24"/>
        </w:rPr>
        <w:t xml:space="preserve">Луусалмского сельского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поселения для указателей с наименованиями улиц и номерами домов применяется совмещенное размещение наименования элемента улично-дорожной сети и номерного знака.</w:t>
      </w:r>
    </w:p>
    <w:p w:rsidR="004D0560" w:rsidRPr="00667576" w:rsidRDefault="004D0560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3. Требования к оформлению указателей с наименованиями улиц и номерами домов</w:t>
      </w:r>
    </w:p>
    <w:p w:rsidR="00431814" w:rsidRPr="00667576" w:rsidRDefault="00431814" w:rsidP="00667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3.1. Требования к форме и размерам указателей с наименованиями улиц и номерами домов приведены в приложении </w:t>
      </w:r>
      <w:proofErr w:type="gramStart"/>
      <w:r w:rsidRPr="00667576">
        <w:rPr>
          <w:rFonts w:ascii="Times New Roman" w:eastAsia="Times New Roman" w:hAnsi="Times New Roman" w:cs="Times New Roman"/>
          <w:sz w:val="24"/>
          <w:szCs w:val="24"/>
        </w:rPr>
        <w:t>2  к</w:t>
      </w:r>
      <w:proofErr w:type="gramEnd"/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560">
        <w:rPr>
          <w:rFonts w:ascii="Times New Roman" w:eastAsia="Times New Roman" w:hAnsi="Times New Roman" w:cs="Times New Roman"/>
          <w:sz w:val="24"/>
          <w:szCs w:val="24"/>
        </w:rPr>
        <w:t>настоящему Положению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3.2. Указатели с наименованиями улиц и номерами домов представляют собой табличку прямоугольной формы со следующими размерами: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1) длиной 600 мм, высотой 300 мм – используются для многоквартирных жилых домов, зданий, </w:t>
      </w:r>
      <w:r w:rsidR="00185327" w:rsidRPr="00667576">
        <w:rPr>
          <w:rFonts w:ascii="Times New Roman" w:eastAsia="Times New Roman" w:hAnsi="Times New Roman" w:cs="Times New Roman"/>
          <w:sz w:val="24"/>
          <w:szCs w:val="24"/>
        </w:rPr>
        <w:t>сооружений;</w:t>
      </w:r>
    </w:p>
    <w:p w:rsidR="00431814" w:rsidRPr="00667576" w:rsidRDefault="0078757F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3) длиной 5</w:t>
      </w:r>
      <w:r w:rsidR="00431814" w:rsidRPr="00667576">
        <w:rPr>
          <w:rFonts w:ascii="Times New Roman" w:eastAsia="Times New Roman" w:hAnsi="Times New Roman" w:cs="Times New Roman"/>
          <w:sz w:val="24"/>
          <w:szCs w:val="24"/>
        </w:rPr>
        <w:t xml:space="preserve">00 мм, высотой 200 мм – используются </w:t>
      </w:r>
      <w:r w:rsidR="004D0560">
        <w:rPr>
          <w:rFonts w:ascii="Times New Roman" w:eastAsia="Times New Roman" w:hAnsi="Times New Roman" w:cs="Times New Roman"/>
          <w:sz w:val="24"/>
          <w:szCs w:val="24"/>
        </w:rPr>
        <w:t>для индивидуальных жилых домов.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3.3. Указатели с наименованиями улиц и номерами домов должны быть изготовлены из материалов с высокими декоративными и эксплуатационными свойствами, устойчивых к воздействию климатических условий, имеющих гарантированную антикоррозийную стойкость, морозоустойчивость, длительную светостойкость (для знаков и надписей),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lastRenderedPageBreak/>
        <w:t>малый вес.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3.4. Конструктивное решение указателей с наименованиями улиц и номерами домов должно обеспечивать прочность, удобство крепежа, минимальный контакт с поверхностью фасадов, удобство обслуживания (очистки, ремонта, замены деталей и осветительных приборов), безопасность эксплуатации. Элементы креплений не должны искажать информацию, расположенную на лицевой поверхности указателей.</w:t>
      </w:r>
    </w:p>
    <w:p w:rsidR="00431814" w:rsidRPr="007C244E" w:rsidRDefault="00431814" w:rsidP="0066757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44E">
        <w:rPr>
          <w:rFonts w:ascii="Times New Roman" w:eastAsia="Times New Roman" w:hAnsi="Times New Roman" w:cs="Times New Roman"/>
          <w:sz w:val="24"/>
          <w:szCs w:val="24"/>
        </w:rPr>
        <w:t>3.5. Цветовое решение указателей с наименованиями улиц и номерами домов должно иметь унифицированный характер (</w:t>
      </w:r>
      <w:r w:rsidR="004D0560" w:rsidRPr="007C244E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="007C244E" w:rsidRPr="007C24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1206">
        <w:rPr>
          <w:rFonts w:ascii="Times New Roman" w:eastAsia="Times New Roman" w:hAnsi="Times New Roman" w:cs="Times New Roman"/>
          <w:sz w:val="24"/>
          <w:szCs w:val="24"/>
        </w:rPr>
        <w:t xml:space="preserve"> цифры – любых оттенков темного</w:t>
      </w:r>
      <w:r w:rsidR="004D0560" w:rsidRPr="007C244E">
        <w:rPr>
          <w:rFonts w:ascii="Times New Roman" w:eastAsia="Times New Roman" w:hAnsi="Times New Roman" w:cs="Times New Roman"/>
          <w:sz w:val="24"/>
          <w:szCs w:val="24"/>
        </w:rPr>
        <w:t xml:space="preserve"> цвета (черного, бордового, синего, зеленого цвета и пр.) </w:t>
      </w:r>
      <w:r w:rsidRPr="007C244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21206">
        <w:rPr>
          <w:rFonts w:ascii="Times New Roman" w:eastAsia="Times New Roman" w:hAnsi="Times New Roman" w:cs="Times New Roman"/>
          <w:sz w:val="24"/>
          <w:szCs w:val="24"/>
        </w:rPr>
        <w:t>светлом</w:t>
      </w:r>
      <w:r w:rsidR="004D0560" w:rsidRPr="007C244E">
        <w:rPr>
          <w:rFonts w:ascii="Times New Roman" w:eastAsia="Times New Roman" w:hAnsi="Times New Roman" w:cs="Times New Roman"/>
          <w:sz w:val="24"/>
          <w:szCs w:val="24"/>
        </w:rPr>
        <w:t xml:space="preserve"> фоне (белый, бежевый, голубой, розовый и пр.). Надпись должна хорошо читаться</w:t>
      </w:r>
      <w:r w:rsidR="00116761" w:rsidRPr="007C244E">
        <w:rPr>
          <w:rFonts w:ascii="Times New Roman" w:eastAsia="Times New Roman" w:hAnsi="Times New Roman" w:cs="Times New Roman"/>
          <w:sz w:val="24"/>
          <w:szCs w:val="24"/>
        </w:rPr>
        <w:t xml:space="preserve"> и не допускать разночтений.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44E">
        <w:rPr>
          <w:rFonts w:ascii="Times New Roman" w:eastAsia="Times New Roman" w:hAnsi="Times New Roman" w:cs="Times New Roman"/>
          <w:sz w:val="24"/>
          <w:szCs w:val="24"/>
        </w:rPr>
        <w:t xml:space="preserve">3.6. Написание наименований элементов улично-дорожной сети осуществляется в точном соответствии с Перечнем элементов улично-дорожной сети и планировочной структуры территории </w:t>
      </w:r>
      <w:r w:rsidR="00185327" w:rsidRPr="007C244E">
        <w:rPr>
          <w:rFonts w:ascii="Times New Roman" w:eastAsia="Times New Roman" w:hAnsi="Times New Roman" w:cs="Times New Roman"/>
          <w:sz w:val="24"/>
          <w:szCs w:val="24"/>
        </w:rPr>
        <w:t xml:space="preserve">Луусалмского сельского </w:t>
      </w:r>
      <w:r w:rsidRPr="007C244E">
        <w:rPr>
          <w:rFonts w:ascii="Times New Roman" w:eastAsia="Times New Roman" w:hAnsi="Times New Roman" w:cs="Times New Roman"/>
          <w:sz w:val="24"/>
          <w:szCs w:val="24"/>
        </w:rPr>
        <w:t>поселения, используемых в качестве реквизитов адреса, на русском языке</w:t>
      </w:r>
      <w:r w:rsidR="00116761" w:rsidRPr="007C244E">
        <w:rPr>
          <w:rFonts w:ascii="Times New Roman" w:eastAsia="Times New Roman" w:hAnsi="Times New Roman" w:cs="Times New Roman"/>
          <w:sz w:val="24"/>
          <w:szCs w:val="24"/>
        </w:rPr>
        <w:t xml:space="preserve">. Возможно дублирование написания </w:t>
      </w:r>
      <w:r w:rsidRPr="007C244E">
        <w:rPr>
          <w:rFonts w:ascii="Times New Roman" w:eastAsia="Times New Roman" w:hAnsi="Times New Roman" w:cs="Times New Roman"/>
          <w:sz w:val="24"/>
          <w:szCs w:val="24"/>
        </w:rPr>
        <w:t>наименования на карельском языке</w:t>
      </w:r>
      <w:r w:rsidR="00116761" w:rsidRPr="007C244E">
        <w:rPr>
          <w:rFonts w:ascii="Times New Roman" w:eastAsia="Times New Roman" w:hAnsi="Times New Roman" w:cs="Times New Roman"/>
          <w:sz w:val="24"/>
          <w:szCs w:val="24"/>
        </w:rPr>
        <w:t xml:space="preserve">, которое </w:t>
      </w:r>
      <w:r w:rsidR="00185327" w:rsidRPr="007C244E">
        <w:rPr>
          <w:rFonts w:ascii="Times New Roman" w:eastAsia="Times New Roman" w:hAnsi="Times New Roman" w:cs="Times New Roman"/>
          <w:sz w:val="24"/>
          <w:szCs w:val="24"/>
        </w:rPr>
        <w:t>выполняется в</w:t>
      </w:r>
      <w:r w:rsidRPr="007C244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Методическими рекомендациями по использованию карельского и вепсского языков в наименованиях, утвержденными приказом Министерства национальной и региональной политики Республики Карелия от </w:t>
      </w:r>
      <w:r w:rsidR="00185327" w:rsidRPr="007C244E">
        <w:rPr>
          <w:rFonts w:ascii="Times New Roman" w:eastAsia="Times New Roman" w:hAnsi="Times New Roman" w:cs="Times New Roman"/>
          <w:sz w:val="24"/>
          <w:szCs w:val="24"/>
        </w:rPr>
        <w:t>16.04.2019 №</w:t>
      </w:r>
      <w:r w:rsidRPr="007C244E">
        <w:rPr>
          <w:rFonts w:ascii="Times New Roman" w:eastAsia="Times New Roman" w:hAnsi="Times New Roman" w:cs="Times New Roman"/>
          <w:sz w:val="24"/>
          <w:szCs w:val="24"/>
        </w:rPr>
        <w:t xml:space="preserve"> 92.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 Требования к размещению указателей с наименованиями улиц и номерами домов.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4.1. Общими требованиями к размещению указателей с наименованиями улиц и номерами домов являются: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4.1.1. Унификация мест размещения, соблюдение единых правил размещения;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4.1.2. Хорошая видимость с учетом условий пешеходного и транспортного движения, дистанций восприятия, архитектуры зданий, освещенности, наличия зеленых насаждений.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4.2. Указатели с наименованиями улиц и номерами домов размещаются горизонтально, на плоскости фасадов многоквартирных и индивидуальных жилых домов, зданий, сооружений (далее – здания):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1) указатели с наименованиями улиц и номерами домов, расположенные по нечетной стороне элемента улично-дорожной сети, размещаются с левой стороны фасада здания, а по четной стороне - с правой стороны фасада здания (при ориентации со стороны тротуара);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2) в отношении элемента улично-дорожной сети с односторонним движением транспорта - на стороне фасада здания, ближней по направлению движения транспорта;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3) у арки или главного входа - с правой стороны или над проемом;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4) на дворовых фасадах зданий - в простенке со стороны внутриквартального проезда;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5) при расположении здания на перекрестке или при длине фасада здания более 100 м допускается размещение более одного указателя</w:t>
      </w:r>
      <w:r w:rsidR="00882458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с наименованием улицы и номером дома;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6) на корпусах зданий промышленных предприятий - справа от главного входа, въезда;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7) в отношении индивидуальных жилых домов допускается размещение указателей с наименованиями улиц и номерами домов на ограждениях справа от главного входа, въезда (высота установки указателей с наименованиями улиц и номерами домов регламентируются высотой ограждения, верхняя граница указателя должна быть ниже верхней границы ограждения не более 0,1 м).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4.3. Размещение указателей с наименованиями улиц и номерами домов должно отвечать следующим требованиям: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1) расстояние от уровня земли до нижнего края указателя должно быть не менее 2,5 м и не более 3,5 м (в кварталах современной застройки допускается –</w:t>
      </w:r>
      <w:r w:rsidR="00E72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не более 5,0 м</w:t>
      </w:r>
      <w:r w:rsidR="00185327" w:rsidRPr="00667576">
        <w:rPr>
          <w:rFonts w:ascii="Times New Roman" w:eastAsia="Times New Roman" w:hAnsi="Times New Roman" w:cs="Times New Roman"/>
          <w:sz w:val="24"/>
          <w:szCs w:val="24"/>
        </w:rPr>
        <w:t>), размещение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, как правило, осуществляется между первым и вторым этажами;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2) расстояние по горизонтали от угла здания до указ</w:t>
      </w:r>
      <w:r w:rsidR="00452178">
        <w:rPr>
          <w:rFonts w:ascii="Times New Roman" w:eastAsia="Times New Roman" w:hAnsi="Times New Roman" w:cs="Times New Roman"/>
          <w:sz w:val="24"/>
          <w:szCs w:val="24"/>
        </w:rPr>
        <w:t>ателя должно быть не менее 0,3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 м; 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3) не должны перекрываться ценные архитектурно-художественные элементы и скульптурный декор зданий (орнаменты, фризы, колонны, пилястры, капители, карнизы, пояса, тяги, филенки, наличники, окна, двери, порталы входов, фронтоны, витражи, витрины, барельефы, акротерии, балюстрады, замковые камни, орнаментальные порезки) и другие архитектурные элементы фасада;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lastRenderedPageBreak/>
        <w:t>4) привязка к вертикальной оси простенка, архитектурным членениям фасада здания, при наличии архитектурных элементов, затрудняющих размещение указателей с наименованиями улиц и номерами домов, размещение осуществляется по центру свободного пространства;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5) единая высота размещения указателей с наименованиями улиц и номерами домов на рядом стоящих зданиях; 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6) отсутствие внешних заслоняющих объектов (ветвей деревьев, кустарников).</w:t>
      </w:r>
    </w:p>
    <w:p w:rsidR="00431814" w:rsidRPr="00667576" w:rsidRDefault="00933CE7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4.4</w:t>
      </w:r>
      <w:r w:rsidR="00431814" w:rsidRPr="00667576">
        <w:rPr>
          <w:rFonts w:ascii="Times New Roman" w:eastAsia="Times New Roman" w:hAnsi="Times New Roman" w:cs="Times New Roman"/>
          <w:sz w:val="24"/>
          <w:szCs w:val="24"/>
        </w:rPr>
        <w:t>. Размещение указателей с наименованиями улиц и номерами домов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814" w:rsidRPr="00667576">
        <w:rPr>
          <w:rFonts w:ascii="Times New Roman" w:eastAsia="Times New Roman" w:hAnsi="Times New Roman" w:cs="Times New Roman"/>
          <w:sz w:val="24"/>
          <w:szCs w:val="24"/>
        </w:rPr>
        <w:t xml:space="preserve">рядом с выступающими элементами вывесок, консолей, вблизи выступающих элементов фасада или на заглубленных участках фасада, воротах не допускается. </w:t>
      </w:r>
    </w:p>
    <w:p w:rsidR="00431814" w:rsidRPr="00667576" w:rsidRDefault="00933CE7" w:rsidP="00667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E728AA">
        <w:rPr>
          <w:rFonts w:ascii="Times New Roman" w:eastAsia="Times New Roman" w:hAnsi="Times New Roman" w:cs="Times New Roman"/>
          <w:sz w:val="24"/>
          <w:szCs w:val="24"/>
        </w:rPr>
        <w:t>. Запрещается</w:t>
      </w:r>
      <w:r w:rsidR="00431814" w:rsidRPr="006675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1814" w:rsidRPr="00667576" w:rsidRDefault="00933CE7" w:rsidP="00667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431814" w:rsidRPr="00667576">
        <w:rPr>
          <w:rFonts w:ascii="Times New Roman" w:eastAsia="Times New Roman" w:hAnsi="Times New Roman" w:cs="Times New Roman"/>
          <w:sz w:val="24"/>
          <w:szCs w:val="24"/>
        </w:rPr>
        <w:t>.1. Размещение на указателях с наименованиями улиц и номерами домов посторонних надписей рекламного характера и других сведений, не относящихся к информации, указанной</w:t>
      </w:r>
      <w:r w:rsidR="00E728AA">
        <w:rPr>
          <w:rFonts w:ascii="Times New Roman" w:eastAsia="Times New Roman" w:hAnsi="Times New Roman" w:cs="Times New Roman"/>
          <w:sz w:val="24"/>
          <w:szCs w:val="24"/>
        </w:rPr>
        <w:t xml:space="preserve"> в пункте 1.2 настоящего Положения</w:t>
      </w:r>
      <w:r w:rsidR="00431814" w:rsidRPr="006675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814" w:rsidRPr="00667576" w:rsidRDefault="00933CE7" w:rsidP="00667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431814" w:rsidRPr="00667576">
        <w:rPr>
          <w:rFonts w:ascii="Times New Roman" w:eastAsia="Times New Roman" w:hAnsi="Times New Roman" w:cs="Times New Roman"/>
          <w:sz w:val="24"/>
          <w:szCs w:val="24"/>
        </w:rPr>
        <w:t>.2. Вертикальное размещение указателей с наименованиями улиц и номерами домов.</w:t>
      </w:r>
    </w:p>
    <w:p w:rsidR="00E728AA" w:rsidRDefault="00431814" w:rsidP="00667576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628"/>
      <w:bookmarkEnd w:id="3"/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5. Требования к эксплуатации указателей 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с наименованиями улиц и номерами домов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5.1. Изготовление, установка новых и (или) замена существующих, пришедших в негодность,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утраченных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указателей с наименованиями улиц и номерами домов, а также их содержание осуществляется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собственниками зданий, организациями, осуществляющими управление многоквартирными домами.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5.2. Основными требованиями к эксплуатации указателей с наименованиями улиц и номерами домов являются: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1) контроль за наличием и техническим состоянием указателей с наименованиями улиц и номерами домов;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2) своевременная замена указателей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с наименованиями улиц и номерами </w:t>
      </w:r>
      <w:r w:rsidR="00185327" w:rsidRPr="00667576">
        <w:rPr>
          <w:rFonts w:ascii="Times New Roman" w:eastAsia="Times New Roman" w:hAnsi="Times New Roman" w:cs="Times New Roman"/>
          <w:sz w:val="24"/>
          <w:szCs w:val="24"/>
        </w:rPr>
        <w:t>домов (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в случае изменения топонимики либо пришедших в негодность, утраты);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3) поддержание внешнего вида, периодическая очистка указателей с наименованиями улиц и номерами домов;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4) в ходе работ по монтажу и демонтажу указателей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с наименованиями улиц и номерами домов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не допускается повреждение или уничтожение декоративных элементов фасадов;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5) снятие, сохранение указателей с наименованиями улиц и номерами домов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в период проведения работ по ремонту фасада здания или укрытие на время ремонта остающихся на фасадах зданий указателей;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6) регулирование условий видимости указателей с наименованиями улиц и номерами домов (осуществлять своевременную обрезку ветвей деревьев, закрывающих указатели). </w:t>
      </w:r>
    </w:p>
    <w:p w:rsidR="00933CE7" w:rsidRDefault="00431814" w:rsidP="0066757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5.3. При ремонте фасадов зданий указатели с наименованиями улиц и номерами домов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>должны быть восстановлены к моменту окончания ремонта.</w:t>
      </w:r>
    </w:p>
    <w:p w:rsidR="00452178" w:rsidRPr="00667576" w:rsidRDefault="00452178" w:rsidP="0066757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5.4.В случае установки собственниками зданий указателей с наименованиями улиц и номерами домов до вступления в силу настоящего Положения, </w:t>
      </w:r>
      <w:r w:rsidR="00185327">
        <w:rPr>
          <w:rFonts w:ascii="Times New Roman" w:eastAsia="Times New Roman" w:hAnsi="Times New Roman" w:cs="Times New Roman"/>
          <w:sz w:val="24"/>
          <w:szCs w:val="24"/>
        </w:rPr>
        <w:t>и, если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надпись на указателях видна, читается как при дневном свете, так и при искусственном освещении, и не допускает разночтений, замена их не требуется.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8AA" w:rsidRDefault="00431814" w:rsidP="00667576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6. Ответственность за нарушение требований установки</w:t>
      </w:r>
      <w:r w:rsidR="00933CE7" w:rsidRPr="006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указателей </w:t>
      </w:r>
    </w:p>
    <w:p w:rsidR="00431814" w:rsidRPr="00667576" w:rsidRDefault="00431814" w:rsidP="00667576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с наименованиями улиц и номерами домов</w:t>
      </w:r>
    </w:p>
    <w:p w:rsidR="00431814" w:rsidRPr="00667576" w:rsidRDefault="00431814" w:rsidP="00667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28AA">
        <w:rPr>
          <w:rFonts w:ascii="Times New Roman" w:eastAsia="Times New Roman" w:hAnsi="Times New Roman" w:cs="Times New Roman"/>
          <w:sz w:val="24"/>
          <w:szCs w:val="24"/>
        </w:rPr>
        <w:t>.1. Нарушение настоящего Положения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 влечет ответственность, предусмотренную действующим законодательством.</w:t>
      </w:r>
    </w:p>
    <w:p w:rsidR="00431814" w:rsidRPr="00667576" w:rsidRDefault="00431814" w:rsidP="00667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6.2. Ответственность</w:t>
      </w:r>
      <w:r w:rsidR="00E728AA">
        <w:rPr>
          <w:rFonts w:ascii="Times New Roman" w:eastAsia="Times New Roman" w:hAnsi="Times New Roman" w:cs="Times New Roman"/>
          <w:sz w:val="24"/>
          <w:szCs w:val="24"/>
        </w:rPr>
        <w:t xml:space="preserve"> за нарушение настоящего Положения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 несут </w:t>
      </w:r>
      <w:r w:rsidR="00E728AA">
        <w:rPr>
          <w:rFonts w:ascii="Times New Roman" w:eastAsia="Times New Roman" w:hAnsi="Times New Roman" w:cs="Times New Roman"/>
          <w:sz w:val="24"/>
          <w:szCs w:val="24"/>
        </w:rPr>
        <w:t>собственники зданий, организации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осуществляющие управление многоквартирными домами. </w:t>
      </w:r>
    </w:p>
    <w:p w:rsidR="00431814" w:rsidRPr="00667576" w:rsidRDefault="00431814" w:rsidP="00667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814" w:rsidRPr="00667576" w:rsidRDefault="00431814" w:rsidP="00667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814" w:rsidRPr="00667576" w:rsidRDefault="00431814" w:rsidP="00667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814" w:rsidRPr="00667576" w:rsidRDefault="00431814" w:rsidP="00667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814" w:rsidRPr="00667576" w:rsidRDefault="00431814" w:rsidP="00667576">
      <w:pPr>
        <w:spacing w:after="0" w:line="240" w:lineRule="auto"/>
        <w:ind w:left="4956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882458" w:rsidRPr="00667576" w:rsidRDefault="00882458" w:rsidP="00667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2A9" w:rsidRPr="00667576" w:rsidRDefault="001652A9" w:rsidP="00667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2A9" w:rsidRPr="00667576" w:rsidRDefault="001652A9" w:rsidP="00667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2A9" w:rsidRPr="00667576" w:rsidRDefault="001652A9" w:rsidP="00667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CD" w:rsidRPr="00667576" w:rsidRDefault="00E816CD" w:rsidP="00667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80F" w:rsidRPr="00667576" w:rsidRDefault="0016480F" w:rsidP="00667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6CD" w:rsidRPr="00667576" w:rsidRDefault="00E816CD" w:rsidP="00667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E816CD" w:rsidRPr="00667576" w:rsidRDefault="00E816CD" w:rsidP="00667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7576"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r w:rsidRPr="00667576">
        <w:rPr>
          <w:rFonts w:ascii="Times New Roman" w:eastAsia="Times New Roman" w:hAnsi="Times New Roman" w:cs="Times New Roman"/>
          <w:sz w:val="24"/>
          <w:szCs w:val="24"/>
        </w:rPr>
        <w:br/>
        <w:t xml:space="preserve">решением </w:t>
      </w:r>
    </w:p>
    <w:p w:rsidR="00E816CD" w:rsidRPr="00204174" w:rsidRDefault="00E816CD" w:rsidP="00E816CD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816CD" w:rsidRPr="00204174" w:rsidRDefault="00E816CD" w:rsidP="00E816CD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4174">
        <w:rPr>
          <w:rFonts w:ascii="Times New Roman" w:eastAsia="Times New Roman" w:hAnsi="Times New Roman" w:cs="Times New Roman"/>
          <w:sz w:val="26"/>
          <w:szCs w:val="26"/>
        </w:rPr>
        <w:t xml:space="preserve">от ________ № </w:t>
      </w:r>
    </w:p>
    <w:p w:rsidR="00E816CD" w:rsidRPr="00204174" w:rsidRDefault="00E816CD" w:rsidP="00E816CD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816CD" w:rsidRPr="00204174" w:rsidRDefault="00E816CD" w:rsidP="00E816C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816CD" w:rsidRPr="00204174" w:rsidRDefault="00E816CD" w:rsidP="00E816CD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174">
        <w:rPr>
          <w:rFonts w:ascii="Times New Roman" w:eastAsia="Times New Roman" w:hAnsi="Times New Roman" w:cs="Times New Roman"/>
          <w:sz w:val="26"/>
          <w:szCs w:val="26"/>
        </w:rPr>
        <w:t>Единая форма указателя с названиями улиц:</w:t>
      </w:r>
    </w:p>
    <w:p w:rsidR="00E816CD" w:rsidRPr="00204174" w:rsidRDefault="00E816CD" w:rsidP="00E816CD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04174">
        <w:rPr>
          <w:rFonts w:ascii="Times New Roman" w:eastAsia="Times New Roman" w:hAnsi="Times New Roman" w:cs="Times New Roman"/>
          <w:sz w:val="26"/>
          <w:szCs w:val="26"/>
        </w:rPr>
        <w:t xml:space="preserve">Размер 600 х 300 мм, </w:t>
      </w:r>
    </w:p>
    <w:p w:rsidR="008D6A5B" w:rsidRPr="00FE1911" w:rsidRDefault="00426F67" w:rsidP="00FE1911">
      <w:pPr>
        <w:spacing w:after="0" w:line="240" w:lineRule="auto"/>
        <w:ind w:left="360"/>
        <w:jc w:val="both"/>
        <w:rPr>
          <w:rFonts w:eastAsia="Times New Roman"/>
          <w:color w:val="800000"/>
          <w:sz w:val="44"/>
          <w:szCs w:val="44"/>
        </w:rPr>
      </w:pPr>
      <w:r>
        <w:rPr>
          <w:rFonts w:eastAsia="Times New Roman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2.95pt;margin-top:18.15pt;width:51.75pt;height:95.4pt;z-index:251659775" strokecolor="white [3212]">
            <v:textbox>
              <w:txbxContent>
                <w:p w:rsidR="000848A8" w:rsidRPr="00E21206" w:rsidRDefault="000848A8">
                  <w:pPr>
                    <w:rPr>
                      <w:sz w:val="144"/>
                      <w:szCs w:val="144"/>
                    </w:rPr>
                  </w:pPr>
                  <w:r w:rsidRPr="00E21206">
                    <w:rPr>
                      <w:sz w:val="144"/>
                      <w:szCs w:val="144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800000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4.2pt;margin-top:25.65pt;width:0;height:88.05pt;z-index:251660288" o:connectortype="straight"/>
        </w:pict>
      </w:r>
      <w:r>
        <w:rPr>
          <w:rFonts w:eastAsia="Times New Roman"/>
          <w:noProof/>
          <w:color w:val="800000"/>
          <w:sz w:val="44"/>
          <w:szCs w:val="44"/>
        </w:rPr>
        <w:pict>
          <v:roundrect id="_x0000_s1026" style="position:absolute;left:0;text-align:left;margin-left:7.2pt;margin-top:10.65pt;width:265.5pt;height:115.95pt;z-index:-251658240" arcsize="10923f"/>
        </w:pict>
      </w:r>
      <w:r>
        <w:rPr>
          <w:rFonts w:eastAsia="Times New Roman"/>
          <w:noProof/>
          <w:color w:val="800000"/>
          <w:sz w:val="44"/>
          <w:szCs w:val="44"/>
        </w:rPr>
        <w:pict>
          <v:shape id="_x0000_s1027" type="#_x0000_t202" style="position:absolute;left:0;text-align:left;margin-left:17.7pt;margin-top:18.15pt;width:161.25pt;height:95.55pt;z-index:251659264" strokecolor="white [3212]">
            <v:textbox style="mso-next-textbox:#_x0000_s1027">
              <w:txbxContent>
                <w:p w:rsidR="000848A8" w:rsidRPr="00E21206" w:rsidRDefault="000848A8" w:rsidP="008D6A5B">
                  <w:pPr>
                    <w:spacing w:after="0" w:line="240" w:lineRule="auto"/>
                    <w:ind w:left="360"/>
                    <w:jc w:val="both"/>
                    <w:rPr>
                      <w:rFonts w:eastAsia="Times New Roman"/>
                      <w:sz w:val="44"/>
                      <w:szCs w:val="44"/>
                    </w:rPr>
                  </w:pPr>
                  <w:r w:rsidRPr="00E21206">
                    <w:rPr>
                      <w:rFonts w:eastAsia="Times New Roman"/>
                      <w:sz w:val="44"/>
                      <w:szCs w:val="44"/>
                    </w:rPr>
                    <w:t>СОВЕТСКАЯ</w:t>
                  </w:r>
                </w:p>
                <w:p w:rsidR="000848A8" w:rsidRPr="00E21206" w:rsidRDefault="000848A8" w:rsidP="008D6A5B">
                  <w:pPr>
                    <w:spacing w:after="0" w:line="240" w:lineRule="auto"/>
                    <w:ind w:left="360"/>
                    <w:jc w:val="both"/>
                    <w:rPr>
                      <w:rFonts w:eastAsia="Times New Roman"/>
                      <w:sz w:val="44"/>
                      <w:szCs w:val="44"/>
                    </w:rPr>
                  </w:pPr>
                  <w:r w:rsidRPr="00E21206">
                    <w:rPr>
                      <w:rFonts w:eastAsia="Times New Roman"/>
                      <w:sz w:val="44"/>
                      <w:szCs w:val="44"/>
                    </w:rPr>
                    <w:t xml:space="preserve">       улица</w:t>
                  </w:r>
                </w:p>
                <w:p w:rsidR="000848A8" w:rsidRPr="00E21206" w:rsidRDefault="000848A8" w:rsidP="008D6A5B">
                  <w:proofErr w:type="spellStart"/>
                  <w:r w:rsidRPr="00E21206">
                    <w:rPr>
                      <w:rFonts w:eastAsia="Times New Roman"/>
                      <w:sz w:val="44"/>
                      <w:szCs w:val="44"/>
                      <w:lang w:val="en-US"/>
                    </w:rPr>
                    <w:t>Sovetskaja-katu</w:t>
                  </w:r>
                  <w:proofErr w:type="spellEnd"/>
                </w:p>
              </w:txbxContent>
            </v:textbox>
          </v:shape>
        </w:pict>
      </w:r>
      <w:r w:rsidR="008D6A5B">
        <w:rPr>
          <w:rFonts w:eastAsia="Times New Roman"/>
          <w:color w:val="800000"/>
          <w:sz w:val="44"/>
          <w:szCs w:val="44"/>
        </w:rPr>
        <w:t xml:space="preserve">   </w:t>
      </w:r>
    </w:p>
    <w:p w:rsidR="00E816CD" w:rsidRDefault="00E816CD" w:rsidP="008D6A5B">
      <w:pPr>
        <w:spacing w:after="0" w:line="240" w:lineRule="auto"/>
        <w:ind w:left="360"/>
        <w:jc w:val="both"/>
        <w:rPr>
          <w:rFonts w:eastAsia="Times New Roman"/>
          <w:sz w:val="44"/>
          <w:szCs w:val="44"/>
        </w:rPr>
      </w:pPr>
      <w:r w:rsidRPr="008D6A5B">
        <w:rPr>
          <w:rFonts w:eastAsia="Times New Roman"/>
          <w:sz w:val="44"/>
          <w:szCs w:val="44"/>
        </w:rPr>
        <w:br/>
      </w:r>
    </w:p>
    <w:p w:rsidR="00FE1911" w:rsidRDefault="00FE1911" w:rsidP="008D6A5B">
      <w:pPr>
        <w:spacing w:after="0" w:line="240" w:lineRule="auto"/>
        <w:ind w:left="360"/>
        <w:jc w:val="both"/>
        <w:rPr>
          <w:rFonts w:eastAsia="Times New Roman"/>
          <w:sz w:val="44"/>
          <w:szCs w:val="44"/>
        </w:rPr>
      </w:pPr>
    </w:p>
    <w:p w:rsidR="00204174" w:rsidRDefault="00204174" w:rsidP="008D6A5B">
      <w:pPr>
        <w:spacing w:after="0" w:line="240" w:lineRule="auto"/>
        <w:ind w:left="360"/>
        <w:jc w:val="both"/>
        <w:rPr>
          <w:rFonts w:eastAsia="Times New Roman"/>
          <w:sz w:val="44"/>
          <w:szCs w:val="44"/>
        </w:rPr>
      </w:pPr>
    </w:p>
    <w:p w:rsidR="00204174" w:rsidRDefault="00204174" w:rsidP="008D6A5B">
      <w:pPr>
        <w:spacing w:after="0" w:line="240" w:lineRule="auto"/>
        <w:ind w:left="360"/>
        <w:jc w:val="both"/>
        <w:rPr>
          <w:rFonts w:eastAsia="Times New Roman"/>
          <w:sz w:val="44"/>
          <w:szCs w:val="44"/>
        </w:rPr>
      </w:pPr>
    </w:p>
    <w:p w:rsidR="00FE1911" w:rsidRPr="00204174" w:rsidRDefault="00FE1911" w:rsidP="00204174">
      <w:pPr>
        <w:pStyle w:val="a8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816CD" w:rsidRPr="00204174" w:rsidRDefault="00E816CD" w:rsidP="008D6A5B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174">
        <w:rPr>
          <w:rFonts w:ascii="Times New Roman" w:eastAsia="Times New Roman" w:hAnsi="Times New Roman" w:cs="Times New Roman"/>
          <w:sz w:val="26"/>
          <w:szCs w:val="26"/>
        </w:rPr>
        <w:t>Единая форма домового знака:</w:t>
      </w:r>
    </w:p>
    <w:p w:rsidR="00E816CD" w:rsidRPr="00E21206" w:rsidRDefault="00E816CD" w:rsidP="0020417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1206">
        <w:rPr>
          <w:rFonts w:ascii="Times New Roman" w:eastAsia="Times New Roman" w:hAnsi="Times New Roman" w:cs="Times New Roman"/>
          <w:sz w:val="26"/>
          <w:szCs w:val="26"/>
        </w:rPr>
        <w:t>Размер 150 х 150 мм</w:t>
      </w:r>
      <w:r w:rsidR="00E21206" w:rsidRPr="00E2120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816CD" w:rsidRDefault="00E816CD" w:rsidP="00E816CD">
      <w:pPr>
        <w:ind w:left="360"/>
        <w:rPr>
          <w:rFonts w:eastAsia="Times New Roman"/>
          <w:bCs/>
        </w:rPr>
      </w:pPr>
    </w:p>
    <w:p w:rsidR="00747BAA" w:rsidRDefault="00426F67" w:rsidP="00E816CD">
      <w:pPr>
        <w:ind w:left="360"/>
        <w:rPr>
          <w:rFonts w:eastAsia="Times New Roman"/>
          <w:bCs/>
        </w:rPr>
      </w:pPr>
      <w:r>
        <w:rPr>
          <w:rFonts w:eastAsia="Times New Roman"/>
          <w:bCs/>
          <w:noProof/>
        </w:rPr>
        <w:pict>
          <v:shape id="_x0000_s1036" type="#_x0000_t32" style="position:absolute;left:0;text-align:left;margin-left:11.7pt;margin-top:8.3pt;width:0;height:122.2pt;z-index:251666432" o:connectortype="straight"/>
        </w:pict>
      </w:r>
      <w:r>
        <w:rPr>
          <w:rFonts w:eastAsia="Times New Roman"/>
          <w:bCs/>
          <w:noProof/>
        </w:rPr>
        <w:pict>
          <v:shape id="_x0000_s1033" type="#_x0000_t32" style="position:absolute;left:0;text-align:left;margin-left:11.7pt;margin-top:8.25pt;width:238.5pt;height:.05pt;z-index:251663360" o:connectortype="straight"/>
        </w:pict>
      </w:r>
      <w:r>
        <w:rPr>
          <w:rFonts w:eastAsia="Times New Roman"/>
          <w:bCs/>
          <w:noProof/>
        </w:rPr>
        <w:pict>
          <v:shape id="_x0000_s1034" type="#_x0000_t32" style="position:absolute;left:0;text-align:left;margin-left:250.2pt;margin-top:8.25pt;width:0;height:122.25pt;z-index:251664384" o:connectortype="straight"/>
        </w:pict>
      </w:r>
      <w:r>
        <w:rPr>
          <w:rFonts w:eastAsia="Times New Roman"/>
          <w:bCs/>
          <w:noProof/>
        </w:rPr>
        <w:pict>
          <v:shape id="_x0000_s1031" type="#_x0000_t202" style="position:absolute;left:0;text-align:left;margin-left:84.45pt;margin-top:20.25pt;width:94.5pt;height:84pt;z-index:251662336" strokecolor="white [3212]">
            <v:textbox>
              <w:txbxContent>
                <w:p w:rsidR="000848A8" w:rsidRPr="00E21206" w:rsidRDefault="000848A8">
                  <w:pPr>
                    <w:rPr>
                      <w:sz w:val="144"/>
                      <w:szCs w:val="144"/>
                    </w:rPr>
                  </w:pPr>
                  <w:r w:rsidRPr="00E21206">
                    <w:rPr>
                      <w:sz w:val="144"/>
                      <w:szCs w:val="144"/>
                    </w:rPr>
                    <w:t>30</w:t>
                  </w:r>
                </w:p>
              </w:txbxContent>
            </v:textbox>
          </v:shape>
        </w:pict>
      </w:r>
      <w:r>
        <w:rPr>
          <w:rFonts w:eastAsia="Times New Roman"/>
          <w:bCs/>
          <w:noProof/>
        </w:rPr>
        <w:pict>
          <v:roundrect id="_x0000_s1030" style="position:absolute;left:0;text-align:left;margin-left:17.7pt;margin-top:12pt;width:228pt;height:114pt;z-index:251661312" arcsize="10923f"/>
        </w:pict>
      </w:r>
    </w:p>
    <w:p w:rsidR="00747BAA" w:rsidRDefault="00747BAA" w:rsidP="00E816CD">
      <w:pPr>
        <w:ind w:left="360"/>
        <w:rPr>
          <w:rFonts w:eastAsia="Times New Roman"/>
          <w:bCs/>
        </w:rPr>
      </w:pPr>
    </w:p>
    <w:p w:rsidR="00747BAA" w:rsidRDefault="00747BAA" w:rsidP="00E816CD">
      <w:pPr>
        <w:ind w:left="360"/>
        <w:rPr>
          <w:rFonts w:eastAsia="Times New Roman"/>
          <w:bCs/>
        </w:rPr>
      </w:pPr>
    </w:p>
    <w:p w:rsidR="00747BAA" w:rsidRDefault="00747BAA" w:rsidP="00E816CD">
      <w:pPr>
        <w:ind w:left="360"/>
        <w:rPr>
          <w:rFonts w:eastAsia="Times New Roman"/>
          <w:bCs/>
        </w:rPr>
      </w:pPr>
    </w:p>
    <w:p w:rsidR="00747BAA" w:rsidRDefault="00747BAA" w:rsidP="00E816CD">
      <w:pPr>
        <w:ind w:left="360"/>
        <w:rPr>
          <w:rFonts w:eastAsia="Times New Roman"/>
          <w:bCs/>
        </w:rPr>
      </w:pPr>
    </w:p>
    <w:p w:rsidR="00747BAA" w:rsidRDefault="00426F67" w:rsidP="00E816CD">
      <w:pPr>
        <w:ind w:left="360"/>
        <w:rPr>
          <w:rFonts w:eastAsia="Times New Roman"/>
          <w:bCs/>
        </w:rPr>
      </w:pPr>
      <w:r>
        <w:rPr>
          <w:rFonts w:eastAsia="Times New Roman"/>
          <w:bCs/>
          <w:noProof/>
        </w:rPr>
        <w:pict>
          <v:shape id="_x0000_s1035" type="#_x0000_t32" style="position:absolute;left:0;text-align:left;margin-left:11.7pt;margin-top:3.3pt;width:238.5pt;height:0;flip:x;z-index:251665408" o:connectortype="straight"/>
        </w:pict>
      </w:r>
    </w:p>
    <w:p w:rsidR="00747BAA" w:rsidRDefault="00747BAA" w:rsidP="00E816CD">
      <w:pPr>
        <w:ind w:left="360"/>
        <w:rPr>
          <w:rFonts w:eastAsia="Times New Roman"/>
          <w:bCs/>
        </w:rPr>
      </w:pPr>
    </w:p>
    <w:p w:rsidR="00E816CD" w:rsidRPr="004B6615" w:rsidRDefault="00E816CD" w:rsidP="00E816CD">
      <w:pPr>
        <w:rPr>
          <w:rFonts w:ascii="Calibri" w:eastAsia="SimSun" w:hAnsi="Calibri"/>
          <w:lang w:eastAsia="en-US"/>
        </w:rPr>
      </w:pPr>
    </w:p>
    <w:p w:rsidR="006D2188" w:rsidRPr="006D2188" w:rsidRDefault="006D2188" w:rsidP="005458C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6D2188" w:rsidRPr="006D2188" w:rsidSect="00566F80">
      <w:pgSz w:w="11906" w:h="16838"/>
      <w:pgMar w:top="709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526A9"/>
    <w:multiLevelType w:val="multilevel"/>
    <w:tmpl w:val="35A8D3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47049A8"/>
    <w:multiLevelType w:val="hybridMultilevel"/>
    <w:tmpl w:val="CDEC6AA0"/>
    <w:lvl w:ilvl="0" w:tplc="DE948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83524"/>
    <w:multiLevelType w:val="hybridMultilevel"/>
    <w:tmpl w:val="83B41898"/>
    <w:lvl w:ilvl="0" w:tplc="D88E827C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25B35"/>
    <w:multiLevelType w:val="hybridMultilevel"/>
    <w:tmpl w:val="CBEE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2F40"/>
    <w:multiLevelType w:val="hybridMultilevel"/>
    <w:tmpl w:val="8AF08CF2"/>
    <w:lvl w:ilvl="0" w:tplc="510468C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887137C"/>
    <w:multiLevelType w:val="hybridMultilevel"/>
    <w:tmpl w:val="0A4C62DA"/>
    <w:lvl w:ilvl="0" w:tplc="933AAF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7210"/>
    <w:rsid w:val="0000753F"/>
    <w:rsid w:val="0006660D"/>
    <w:rsid w:val="000703C9"/>
    <w:rsid w:val="00073A00"/>
    <w:rsid w:val="000848A8"/>
    <w:rsid w:val="000A056C"/>
    <w:rsid w:val="000A22DE"/>
    <w:rsid w:val="000C0D45"/>
    <w:rsid w:val="000D3D54"/>
    <w:rsid w:val="00104E33"/>
    <w:rsid w:val="00116761"/>
    <w:rsid w:val="00134D3F"/>
    <w:rsid w:val="00140276"/>
    <w:rsid w:val="0014615A"/>
    <w:rsid w:val="0015296F"/>
    <w:rsid w:val="0016480F"/>
    <w:rsid w:val="001652A9"/>
    <w:rsid w:val="001846E7"/>
    <w:rsid w:val="00185327"/>
    <w:rsid w:val="001B7602"/>
    <w:rsid w:val="00202344"/>
    <w:rsid w:val="002037C4"/>
    <w:rsid w:val="00204174"/>
    <w:rsid w:val="00234EB7"/>
    <w:rsid w:val="0024121D"/>
    <w:rsid w:val="002475CD"/>
    <w:rsid w:val="00271923"/>
    <w:rsid w:val="00286D20"/>
    <w:rsid w:val="002976BA"/>
    <w:rsid w:val="002A2C6C"/>
    <w:rsid w:val="002E1311"/>
    <w:rsid w:val="002E33F1"/>
    <w:rsid w:val="00301370"/>
    <w:rsid w:val="00301F54"/>
    <w:rsid w:val="00314CAC"/>
    <w:rsid w:val="003205B4"/>
    <w:rsid w:val="003443A5"/>
    <w:rsid w:val="00364A41"/>
    <w:rsid w:val="00365115"/>
    <w:rsid w:val="00384C5B"/>
    <w:rsid w:val="00390358"/>
    <w:rsid w:val="00395DE5"/>
    <w:rsid w:val="003A05D0"/>
    <w:rsid w:val="003C2FF2"/>
    <w:rsid w:val="003D2778"/>
    <w:rsid w:val="003F23A3"/>
    <w:rsid w:val="00404577"/>
    <w:rsid w:val="00425714"/>
    <w:rsid w:val="00426F67"/>
    <w:rsid w:val="00431814"/>
    <w:rsid w:val="00452178"/>
    <w:rsid w:val="00474EC2"/>
    <w:rsid w:val="00486C5C"/>
    <w:rsid w:val="004914E9"/>
    <w:rsid w:val="004B6615"/>
    <w:rsid w:val="004C0502"/>
    <w:rsid w:val="004D0560"/>
    <w:rsid w:val="004D7611"/>
    <w:rsid w:val="004E0429"/>
    <w:rsid w:val="00537326"/>
    <w:rsid w:val="00541384"/>
    <w:rsid w:val="00541700"/>
    <w:rsid w:val="005458C6"/>
    <w:rsid w:val="00550F1C"/>
    <w:rsid w:val="00566F80"/>
    <w:rsid w:val="005753E1"/>
    <w:rsid w:val="005C2BB6"/>
    <w:rsid w:val="005E34E8"/>
    <w:rsid w:val="00603274"/>
    <w:rsid w:val="00631CF4"/>
    <w:rsid w:val="0065447E"/>
    <w:rsid w:val="006666F6"/>
    <w:rsid w:val="00667576"/>
    <w:rsid w:val="0069067D"/>
    <w:rsid w:val="006D126D"/>
    <w:rsid w:val="006D2188"/>
    <w:rsid w:val="006D6CEA"/>
    <w:rsid w:val="00704C25"/>
    <w:rsid w:val="007165A3"/>
    <w:rsid w:val="0072512A"/>
    <w:rsid w:val="00737E1B"/>
    <w:rsid w:val="007460B9"/>
    <w:rsid w:val="00747BAA"/>
    <w:rsid w:val="0076500C"/>
    <w:rsid w:val="0078757F"/>
    <w:rsid w:val="0079057B"/>
    <w:rsid w:val="0079500A"/>
    <w:rsid w:val="00797A06"/>
    <w:rsid w:val="007C244E"/>
    <w:rsid w:val="007C2821"/>
    <w:rsid w:val="007D2275"/>
    <w:rsid w:val="0084236A"/>
    <w:rsid w:val="00882458"/>
    <w:rsid w:val="00893390"/>
    <w:rsid w:val="00893E4F"/>
    <w:rsid w:val="0089474B"/>
    <w:rsid w:val="008A5812"/>
    <w:rsid w:val="008B69CC"/>
    <w:rsid w:val="008B6BBC"/>
    <w:rsid w:val="008C02F2"/>
    <w:rsid w:val="008D6A5B"/>
    <w:rsid w:val="008E37D9"/>
    <w:rsid w:val="00910767"/>
    <w:rsid w:val="009136DE"/>
    <w:rsid w:val="00926D44"/>
    <w:rsid w:val="00933BBB"/>
    <w:rsid w:val="00933CE7"/>
    <w:rsid w:val="0097084F"/>
    <w:rsid w:val="009778F4"/>
    <w:rsid w:val="00980328"/>
    <w:rsid w:val="00990AD6"/>
    <w:rsid w:val="009A18B6"/>
    <w:rsid w:val="009E0B09"/>
    <w:rsid w:val="009E354B"/>
    <w:rsid w:val="009F26CA"/>
    <w:rsid w:val="00A20E76"/>
    <w:rsid w:val="00A21005"/>
    <w:rsid w:val="00A34240"/>
    <w:rsid w:val="00A3760A"/>
    <w:rsid w:val="00A4784A"/>
    <w:rsid w:val="00A54E94"/>
    <w:rsid w:val="00A67785"/>
    <w:rsid w:val="00A77CB4"/>
    <w:rsid w:val="00A812B6"/>
    <w:rsid w:val="00AB2A75"/>
    <w:rsid w:val="00AC05CD"/>
    <w:rsid w:val="00AC280C"/>
    <w:rsid w:val="00AD094D"/>
    <w:rsid w:val="00AD3CDB"/>
    <w:rsid w:val="00AF786A"/>
    <w:rsid w:val="00B01191"/>
    <w:rsid w:val="00B07DE3"/>
    <w:rsid w:val="00B13D02"/>
    <w:rsid w:val="00B23B01"/>
    <w:rsid w:val="00B406FC"/>
    <w:rsid w:val="00B825F8"/>
    <w:rsid w:val="00B84DDD"/>
    <w:rsid w:val="00B85999"/>
    <w:rsid w:val="00BB2D4A"/>
    <w:rsid w:val="00BF46C2"/>
    <w:rsid w:val="00BF4DED"/>
    <w:rsid w:val="00C507F4"/>
    <w:rsid w:val="00C618C0"/>
    <w:rsid w:val="00C71B7E"/>
    <w:rsid w:val="00CB080C"/>
    <w:rsid w:val="00CB33C4"/>
    <w:rsid w:val="00CC0CA6"/>
    <w:rsid w:val="00CD06E8"/>
    <w:rsid w:val="00CD4AF3"/>
    <w:rsid w:val="00D157A6"/>
    <w:rsid w:val="00D22B65"/>
    <w:rsid w:val="00D24067"/>
    <w:rsid w:val="00D244FE"/>
    <w:rsid w:val="00D317B3"/>
    <w:rsid w:val="00D3340C"/>
    <w:rsid w:val="00D403F1"/>
    <w:rsid w:val="00D7449B"/>
    <w:rsid w:val="00D9631C"/>
    <w:rsid w:val="00DA0D60"/>
    <w:rsid w:val="00DA3644"/>
    <w:rsid w:val="00E0273B"/>
    <w:rsid w:val="00E037DC"/>
    <w:rsid w:val="00E04522"/>
    <w:rsid w:val="00E06FBE"/>
    <w:rsid w:val="00E1611B"/>
    <w:rsid w:val="00E21206"/>
    <w:rsid w:val="00E27210"/>
    <w:rsid w:val="00E27AA2"/>
    <w:rsid w:val="00E33422"/>
    <w:rsid w:val="00E728AA"/>
    <w:rsid w:val="00E816CD"/>
    <w:rsid w:val="00E957FA"/>
    <w:rsid w:val="00EA0EF8"/>
    <w:rsid w:val="00EB0D7C"/>
    <w:rsid w:val="00ED4E2D"/>
    <w:rsid w:val="00F33C0D"/>
    <w:rsid w:val="00F3670E"/>
    <w:rsid w:val="00F71021"/>
    <w:rsid w:val="00F81818"/>
    <w:rsid w:val="00F95F06"/>
    <w:rsid w:val="00F96A3E"/>
    <w:rsid w:val="00FA7792"/>
    <w:rsid w:val="00FC496D"/>
    <w:rsid w:val="00FD0D57"/>
    <w:rsid w:val="00FE1911"/>
    <w:rsid w:val="00FF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4"/>
        <o:r id="V:Rule2" type="connector" idref="#_x0000_s1028"/>
        <o:r id="V:Rule3" type="connector" idref="#_x0000_s1035"/>
        <o:r id="V:Rule4" type="connector" idref="#_x0000_s1033"/>
        <o:r id="V:Rule5" type="connector" idref="#_x0000_s1036"/>
      </o:rules>
    </o:shapelayout>
  </w:shapeDefaults>
  <w:decimalSymbol w:val=","/>
  <w:listSeparator w:val=";"/>
  <w15:docId w15:val="{93D4E3EA-447D-440E-AC07-A12D647C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B6"/>
  </w:style>
  <w:style w:type="paragraph" w:styleId="1">
    <w:name w:val="heading 1"/>
    <w:basedOn w:val="a"/>
    <w:next w:val="a"/>
    <w:link w:val="10"/>
    <w:qFormat/>
    <w:rsid w:val="00E272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21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Normal (Web)"/>
    <w:basedOn w:val="a"/>
    <w:unhideWhenUsed/>
    <w:rsid w:val="00E2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E272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E272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27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27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2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2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5115"/>
    <w:pPr>
      <w:ind w:left="720"/>
      <w:contextualSpacing/>
    </w:pPr>
  </w:style>
  <w:style w:type="paragraph" w:customStyle="1" w:styleId="western">
    <w:name w:val="western"/>
    <w:basedOn w:val="a"/>
    <w:rsid w:val="005753E1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204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F7DD-F66F-405F-9CC6-AA113698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Калевала</dc:creator>
  <cp:lastModifiedBy>МойКомп</cp:lastModifiedBy>
  <cp:revision>39</cp:revision>
  <cp:lastPrinted>2021-02-18T06:17:00Z</cp:lastPrinted>
  <dcterms:created xsi:type="dcterms:W3CDTF">2021-01-26T11:05:00Z</dcterms:created>
  <dcterms:modified xsi:type="dcterms:W3CDTF">2021-02-25T06:57:00Z</dcterms:modified>
</cp:coreProperties>
</file>